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D7" w:rsidRPr="002B69A9" w:rsidRDefault="000D5AD7" w:rsidP="00C50ED8">
      <w:pPr>
        <w:tabs>
          <w:tab w:val="left" w:pos="8789"/>
        </w:tabs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478C" w:rsidRPr="002D5065" w:rsidRDefault="002D5065" w:rsidP="00953FC4">
      <w:pPr>
        <w:spacing w:after="0" w:line="240" w:lineRule="auto"/>
        <w:ind w:left="1877" w:firstLine="3935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Бұйрыққа 2- қосымша</w:t>
      </w:r>
    </w:p>
    <w:p w:rsidR="007A478C" w:rsidRPr="002B69A9" w:rsidRDefault="007A478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D5065" w:rsidRDefault="002D5065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2D5065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монополиялар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2D5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065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2D5065" w:rsidRPr="0045194E" w:rsidRDefault="002D5065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6  - қосымша</w:t>
      </w:r>
      <w:r w:rsidRPr="004519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D5065" w:rsidRPr="0045194E" w:rsidRDefault="00BD3886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5194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</w:t>
      </w:r>
    </w:p>
    <w:p w:rsidR="0025714E" w:rsidRDefault="00BD3886" w:rsidP="002D5065">
      <w:pPr>
        <w:spacing w:after="0" w:line="240" w:lineRule="auto"/>
        <w:ind w:left="6096" w:hanging="284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4519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714E" w:rsidRPr="0045194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2D5065">
        <w:rPr>
          <w:rFonts w:ascii="Times New Roman" w:hAnsi="Times New Roman" w:cs="Times New Roman"/>
          <w:sz w:val="28"/>
          <w:szCs w:val="28"/>
          <w:lang w:val="kk-KZ"/>
        </w:rPr>
        <w:t xml:space="preserve"> - нысан</w:t>
      </w:r>
    </w:p>
    <w:p w:rsidR="002D5065" w:rsidRPr="002D5065" w:rsidRDefault="002D5065" w:rsidP="0025714E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5194E" w:rsidRPr="0045194E" w:rsidRDefault="0045194E" w:rsidP="0045194E">
      <w:pPr>
        <w:spacing w:after="0" w:line="240" w:lineRule="auto"/>
        <w:ind w:firstLine="34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5194E">
        <w:rPr>
          <w:rFonts w:ascii="Times New Roman" w:hAnsi="Times New Roman" w:cs="Times New Roman"/>
          <w:sz w:val="28"/>
          <w:szCs w:val="28"/>
          <w:lang w:val="kk-KZ"/>
        </w:rPr>
        <w:t>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</w:t>
      </w:r>
    </w:p>
    <w:p w:rsidR="0045194E" w:rsidRPr="0045194E" w:rsidRDefault="0045194E" w:rsidP="009C325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  <w:lang w:val="kk-KZ"/>
        </w:rPr>
        <w:t xml:space="preserve">      </w:t>
      </w:r>
      <w:r w:rsidRPr="0045194E">
        <w:rPr>
          <w:rFonts w:ascii="Times New Roman" w:hAnsi="Times New Roman" w:cs="Times New Roman"/>
          <w:sz w:val="28"/>
          <w:szCs w:val="28"/>
        </w:rPr>
        <w:t xml:space="preserve">Электр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C325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 Электр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желіге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босатуды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тұтынуды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диспетчерлендіру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C3250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>  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желіге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босатуды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тұтынуды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диспетчерлендіру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C325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      Электр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өндіру-тұтыну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теңгерімін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C325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өндіру-тұтыну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теңгерімін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143"/>
        <w:gridCol w:w="4819"/>
      </w:tblGrid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 №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Қосылған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абоненттер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</w:t>
            </w:r>
            <w:proofErr w:type="spellEnd"/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Желілердің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саласындағы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жөніндегі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ғана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Күш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трансформаторларының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саласындағы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жөніндегі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ғана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Дана</w:t>
            </w:r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Күш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трансформаторларының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саласындағы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жөніндегі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ғана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Мегаватт/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тіркелген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желілердегі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жүктеме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саласындағы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энергиясын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жөніндегі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ғана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Киловольт</w:t>
            </w:r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Киловатт/с</w:t>
            </w:r>
          </w:p>
        </w:tc>
      </w:tr>
      <w:tr w:rsidR="0045194E" w:rsidRPr="0045194E" w:rsidTr="009C3250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аумағы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Шаршы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</w:tbl>
    <w:p w:rsidR="0045194E" w:rsidRPr="0045194E" w:rsidRDefault="0045194E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Ескертпе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9C3250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45194E" w:rsidRPr="0045194E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proofErr w:type="gram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параметр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реттеліп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қабылданбаған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параметр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реттеліп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ескерілмейді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.</w:t>
      </w:r>
    </w:p>
    <w:p w:rsidR="0045194E" w:rsidRPr="0045194E" w:rsidRDefault="0045194E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транзиттеу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шегінен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жерге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экспорттау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жалғастырушы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) газ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тарату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жүйелері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топтық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резервуарлық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қондырғыларды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шикі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жалғастырушы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9C3250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45194E" w:rsidRPr="0045194E">
        <w:rPr>
          <w:rFonts w:ascii="Times New Roman" w:hAnsi="Times New Roman" w:cs="Times New Roman"/>
          <w:sz w:val="28"/>
          <w:szCs w:val="28"/>
        </w:rPr>
        <w:t>шикі</w:t>
      </w:r>
      <w:proofErr w:type="spellEnd"/>
      <w:proofErr w:type="gram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жалғастырушы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құбырлары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9C3250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45194E"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proofErr w:type="gram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тұтынушылары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таратушы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жүйелер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9C3250" w:rsidP="009C3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45194E" w:rsidRPr="0045194E">
        <w:rPr>
          <w:rFonts w:ascii="Times New Roman" w:hAnsi="Times New Roman" w:cs="Times New Roman"/>
          <w:sz w:val="28"/>
          <w:szCs w:val="28"/>
        </w:rPr>
        <w:t>сұйытылған</w:t>
      </w:r>
      <w:proofErr w:type="spellEnd"/>
      <w:proofErr w:type="gram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топтық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резервуарлық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қондырғыдан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тұтынушыны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қосатын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кранға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құбырлары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C325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тауарлық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газды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111"/>
        <w:gridCol w:w="4819"/>
      </w:tblGrid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 №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Қосылған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абоненттер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</w:p>
        </w:tc>
      </w:tr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Газ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құбырларының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Газ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құбырларының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/газ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тарату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жүйесінің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текше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метр</w:t>
            </w:r>
          </w:p>
        </w:tc>
      </w:tr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Газ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құбырларындағы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/газ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тарату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жүйелеріндегі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қысым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</w:p>
        </w:tc>
      </w:tr>
      <w:tr w:rsidR="0045194E" w:rsidRPr="0045194E" w:rsidTr="009C3250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C3250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текше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метр</w:t>
            </w:r>
          </w:p>
        </w:tc>
      </w:tr>
    </w:tbl>
    <w:p w:rsidR="0045194E" w:rsidRPr="0045194E" w:rsidRDefault="00582771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Топырақтың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жылуын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жерасты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суларын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өзендерді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су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қоймаларын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өнеркәсіптік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кәсіпорындардың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станцияларының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кәріздік-тазарту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құрылыстарының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сарқынды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суларын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пайдалана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өндірілген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, беру,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онымен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582771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45194E"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proofErr w:type="gram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94E" w:rsidRPr="0045194E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="0045194E"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беру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5827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жылу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беру,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онымен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111"/>
        <w:gridCol w:w="4947"/>
      </w:tblGrid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 №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Қаланың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қосылған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объектілерінің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Дана</w:t>
            </w:r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Құбырлардың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Қазандықтың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Гигокалории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(мегаватт/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Сорғылардың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Мегаватт/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Желілердегі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жоғарғы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жүктеме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Гкал</w:t>
            </w:r>
          </w:p>
        </w:tc>
      </w:tr>
      <w:tr w:rsidR="0045194E" w:rsidRPr="0045194E" w:rsidTr="00582771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58277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Гкал</w:t>
            </w:r>
          </w:p>
        </w:tc>
      </w:tr>
    </w:tbl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Ескертпе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параметр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реттеліп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қолайсыз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параметр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реттеліп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ескерілмейді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Сумен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) су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бұру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сумен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94E">
        <w:rPr>
          <w:rFonts w:ascii="Times New Roman" w:hAnsi="Times New Roman" w:cs="Times New Roman"/>
          <w:sz w:val="28"/>
          <w:szCs w:val="28"/>
        </w:rPr>
        <w:t>суды</w:t>
      </w:r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94E">
        <w:rPr>
          <w:rFonts w:ascii="Times New Roman" w:hAnsi="Times New Roman" w:cs="Times New Roman"/>
          <w:sz w:val="28"/>
          <w:szCs w:val="28"/>
        </w:rPr>
        <w:t>суды</w:t>
      </w:r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таратушы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желілер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94E">
        <w:rPr>
          <w:rFonts w:ascii="Times New Roman" w:hAnsi="Times New Roman" w:cs="Times New Roman"/>
          <w:sz w:val="28"/>
          <w:szCs w:val="28"/>
        </w:rPr>
        <w:t>суды</w:t>
      </w:r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арналар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гидротехникалық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сүйеу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құрылыстарының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көмегімен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үстіндегі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ағынды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суды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94E">
        <w:rPr>
          <w:rFonts w:ascii="Times New Roman" w:hAnsi="Times New Roman" w:cs="Times New Roman"/>
          <w:sz w:val="28"/>
          <w:szCs w:val="28"/>
        </w:rPr>
        <w:t>су</w:t>
      </w:r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бұру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сарқынды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суларды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бұру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E11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сарқынды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суларды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тазарту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4059"/>
        <w:gridCol w:w="4961"/>
      </w:tblGrid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 №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Қосылған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абоненттер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абоненттер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Су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желілерінің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I,II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көтергіш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сорғы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станциялары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мен су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тазарту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құрылыстарының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трансформаторлық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тобының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Мегаватт/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Орнатылған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сорғы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жабдығының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жиынтық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қуаты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Мегаватт/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II-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ші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көтеру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сорғы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станциясымен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су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кезіндегі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есептік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арын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көтеру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сорғы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станциясымен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су беру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кезіндегі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нақты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арын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45194E" w:rsidRPr="0045194E" w:rsidTr="009D6CEC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реттеліп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9D6CEC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текше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метр</w:t>
            </w:r>
          </w:p>
        </w:tc>
      </w:tr>
    </w:tbl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бос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транзиттік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реттеліп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желілері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жылжымалы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құрамды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өткізуді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контейнерлермен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контейнерлерді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желісін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жылжымалы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құрамды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өткізуді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Бәсекелес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мемлекеттік-жекешелік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әріптестік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концессия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көлігінің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объектілері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теміржолдар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бәсекелес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мемлекеттік-жекешелік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әріптестік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концессия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көлігінің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объектілері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теміржолдарды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Бәсекелес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жолдар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бәсекелес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жылжымалы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құрамның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өтуі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45194E" w:rsidRPr="0045194E" w:rsidRDefault="0045194E" w:rsidP="009D6C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бәсекелес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маневрлік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тиеу-түсіру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процесінің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технологиялық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операциялары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lastRenderedPageBreak/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процесінің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технологиялық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операцияларында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көзделмеген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жылжымалы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құрамның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тұрағы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кірме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жолды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беру.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3933"/>
        <w:gridCol w:w="4819"/>
      </w:tblGrid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6BC7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Поездардың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барынша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рұқсат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салмағы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</w:tr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Жолаушылар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поездары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қозғалысының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рұқсат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жылдамдығы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Километр/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Жүк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поездары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қозғалысының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рұқсат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жылдамдығы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Километр/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сағ</w:t>
            </w:r>
            <w:proofErr w:type="spellEnd"/>
          </w:p>
        </w:tc>
      </w:tr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Жүк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қозғалысында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Т-километр</w:t>
            </w:r>
          </w:p>
        </w:tc>
      </w:tr>
      <w:tr w:rsidR="0045194E" w:rsidRPr="0045194E" w:rsidTr="00C96BC7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3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Жолаушылар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қозғалысында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Жолаушы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-километр</w:t>
            </w:r>
          </w:p>
        </w:tc>
      </w:tr>
    </w:tbl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Порттар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порттық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нарығында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бәсекелестік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кейіннен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порттан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шығып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танкерге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танкерлерден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ауыстырып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тиеу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кеменің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теңіз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портына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кіргені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кеменің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кіруі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4961"/>
      </w:tblGrid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6BC7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Айлақтар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бірлік</w:t>
            </w:r>
            <w:proofErr w:type="spellEnd"/>
            <w:proofErr w:type="gram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Жылына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айлақтарда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кемелерді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көп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өндеу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бірлік</w:t>
            </w:r>
            <w:proofErr w:type="spellEnd"/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тәулігіне</w:t>
            </w:r>
            <w:proofErr w:type="spell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45194E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жылына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Табиғи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бірлік</w:t>
            </w:r>
            <w:proofErr w:type="spellEnd"/>
          </w:p>
        </w:tc>
      </w:tr>
    </w:tbl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транзиттеу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Республикасынан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экспорттау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құбырлар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: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маршруттау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операторлық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магистральдық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құбыр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айдау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цистерналарынан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құйып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теміржол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цистерналарына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құю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танкерлерге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құю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автоцистерналардан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құйып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lastRenderedPageBreak/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автоцистерналарға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құю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ауыстырып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тиеу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;</w:t>
      </w:r>
    </w:p>
    <w:p w:rsidR="0045194E" w:rsidRPr="0045194E" w:rsidRDefault="0045194E" w:rsidP="00C96B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194E">
        <w:rPr>
          <w:rFonts w:ascii="Times New Roman" w:hAnsi="Times New Roman" w:cs="Times New Roman"/>
          <w:sz w:val="28"/>
          <w:szCs w:val="28"/>
        </w:rPr>
        <w:t>мұнайды</w:t>
      </w:r>
      <w:proofErr w:type="spellEnd"/>
      <w:proofErr w:type="gramEnd"/>
      <w:r w:rsidRPr="00451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94E">
        <w:rPr>
          <w:rFonts w:ascii="Times New Roman" w:hAnsi="Times New Roman" w:cs="Times New Roman"/>
          <w:sz w:val="28"/>
          <w:szCs w:val="28"/>
        </w:rPr>
        <w:t>араластыру</w:t>
      </w:r>
      <w:proofErr w:type="spellEnd"/>
      <w:r w:rsidRPr="004519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4961"/>
      </w:tblGrid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6BC7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Құрылымдық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параметрлер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Өлшем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Көрсетілектін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тұтынушылар</w:t>
            </w:r>
            <w:proofErr w:type="spell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Мұнай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құбырларының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километр</w:t>
            </w:r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Барлық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учаскелер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орташа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өткізу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қабілеті</w:t>
            </w:r>
            <w:proofErr w:type="spellEnd"/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тәүлік</w:t>
            </w:r>
            <w:proofErr w:type="spellEnd"/>
          </w:p>
        </w:tc>
      </w:tr>
      <w:tr w:rsidR="0045194E" w:rsidRPr="0045194E" w:rsidTr="00C96BC7">
        <w:tc>
          <w:tcPr>
            <w:tcW w:w="8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Реттелетін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қызметтің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жылда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жүк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айналымы</w:t>
            </w:r>
            <w:proofErr w:type="spell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194E" w:rsidRPr="0045194E" w:rsidRDefault="0045194E" w:rsidP="00C96BC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  <w:proofErr w:type="gramEnd"/>
            <w:r w:rsidRPr="0045194E">
              <w:rPr>
                <w:rFonts w:ascii="Times New Roman" w:hAnsi="Times New Roman" w:cs="Times New Roman"/>
                <w:sz w:val="28"/>
                <w:szCs w:val="28"/>
              </w:rPr>
              <w:t xml:space="preserve"> т-километр</w:t>
            </w:r>
          </w:p>
        </w:tc>
      </w:tr>
    </w:tbl>
    <w:p w:rsidR="005C1E43" w:rsidRDefault="005C1E43" w:rsidP="00AE402C">
      <w:pPr>
        <w:spacing w:after="0" w:line="240" w:lineRule="auto"/>
        <w:ind w:firstLine="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C1E43" w:rsidSect="00A147BC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90E" w:rsidRDefault="00D3490E" w:rsidP="007D3495">
      <w:pPr>
        <w:spacing w:after="0" w:line="240" w:lineRule="auto"/>
      </w:pPr>
      <w:r>
        <w:separator/>
      </w:r>
    </w:p>
  </w:endnote>
  <w:endnote w:type="continuationSeparator" w:id="0">
    <w:p w:rsidR="00D3490E" w:rsidRDefault="00D3490E" w:rsidP="007D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90E" w:rsidRDefault="00D3490E" w:rsidP="007D3495">
      <w:pPr>
        <w:spacing w:after="0" w:line="240" w:lineRule="auto"/>
      </w:pPr>
      <w:r>
        <w:separator/>
      </w:r>
    </w:p>
  </w:footnote>
  <w:footnote w:type="continuationSeparator" w:id="0">
    <w:p w:rsidR="00D3490E" w:rsidRDefault="00D3490E" w:rsidP="007D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7B" w:rsidRPr="00226B7B" w:rsidRDefault="00A147BC" w:rsidP="00A147BC">
    <w:pPr>
      <w:pStyle w:val="a5"/>
      <w:tabs>
        <w:tab w:val="center" w:pos="4818"/>
        <w:tab w:val="left" w:pos="5447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sdt>
      <w:sdtPr>
        <w:id w:val="138313498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226B7B" w:rsidRPr="00226B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26B7B" w:rsidRPr="00226B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26B7B" w:rsidRPr="00226B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="00226B7B" w:rsidRPr="00226B7B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ab/>
    </w:r>
  </w:p>
  <w:p w:rsidR="007D3495" w:rsidRDefault="007D34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56B6B"/>
    <w:multiLevelType w:val="hybridMultilevel"/>
    <w:tmpl w:val="78D64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87"/>
    <w:rsid w:val="000A0F36"/>
    <w:rsid w:val="000D5AD7"/>
    <w:rsid w:val="00146E16"/>
    <w:rsid w:val="00154613"/>
    <w:rsid w:val="0022487C"/>
    <w:rsid w:val="00226B7B"/>
    <w:rsid w:val="0025714E"/>
    <w:rsid w:val="00277B92"/>
    <w:rsid w:val="002B69A9"/>
    <w:rsid w:val="002D5065"/>
    <w:rsid w:val="00304F1D"/>
    <w:rsid w:val="003145B2"/>
    <w:rsid w:val="004014BD"/>
    <w:rsid w:val="0045194E"/>
    <w:rsid w:val="004821F1"/>
    <w:rsid w:val="004A53CF"/>
    <w:rsid w:val="005138A4"/>
    <w:rsid w:val="00525254"/>
    <w:rsid w:val="0053527C"/>
    <w:rsid w:val="00582771"/>
    <w:rsid w:val="005C1E43"/>
    <w:rsid w:val="005D6CB1"/>
    <w:rsid w:val="005E59A9"/>
    <w:rsid w:val="00691224"/>
    <w:rsid w:val="006A1695"/>
    <w:rsid w:val="006F160C"/>
    <w:rsid w:val="00737CF3"/>
    <w:rsid w:val="00755F89"/>
    <w:rsid w:val="007A478C"/>
    <w:rsid w:val="007D3495"/>
    <w:rsid w:val="0084555E"/>
    <w:rsid w:val="00867E2E"/>
    <w:rsid w:val="008C7038"/>
    <w:rsid w:val="008F64E7"/>
    <w:rsid w:val="00953FC4"/>
    <w:rsid w:val="009C3250"/>
    <w:rsid w:val="009D6CEC"/>
    <w:rsid w:val="009E1144"/>
    <w:rsid w:val="00A147BC"/>
    <w:rsid w:val="00A43E5D"/>
    <w:rsid w:val="00A73C03"/>
    <w:rsid w:val="00AB7092"/>
    <w:rsid w:val="00AC5B0A"/>
    <w:rsid w:val="00AD2742"/>
    <w:rsid w:val="00AE402C"/>
    <w:rsid w:val="00BD3886"/>
    <w:rsid w:val="00C35468"/>
    <w:rsid w:val="00C50ED8"/>
    <w:rsid w:val="00C90B81"/>
    <w:rsid w:val="00C96BC7"/>
    <w:rsid w:val="00CE179B"/>
    <w:rsid w:val="00D13D72"/>
    <w:rsid w:val="00D3490E"/>
    <w:rsid w:val="00DE0EFA"/>
    <w:rsid w:val="00DE7987"/>
    <w:rsid w:val="00EE36C3"/>
    <w:rsid w:val="00F27AF9"/>
    <w:rsid w:val="00F42452"/>
    <w:rsid w:val="00F90680"/>
    <w:rsid w:val="00F93BF7"/>
    <w:rsid w:val="00FA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B7E11B-9573-42CF-8B80-8029B948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0C"/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3495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349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Айзада</cp:lastModifiedBy>
  <cp:revision>28</cp:revision>
  <dcterms:created xsi:type="dcterms:W3CDTF">2025-04-28T10:13:00Z</dcterms:created>
  <dcterms:modified xsi:type="dcterms:W3CDTF">2025-05-15T07:23:00Z</dcterms:modified>
</cp:coreProperties>
</file>